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05E" w:rsidRDefault="00DB1462" w:rsidP="009D0374">
      <w:pPr>
        <w:jc w:val="center"/>
        <w:rPr>
          <w:rFonts w:ascii="Arial" w:hAnsi="Arial" w:cs="Arial"/>
          <w:b/>
          <w:sz w:val="28"/>
          <w:szCs w:val="28"/>
        </w:rPr>
      </w:pPr>
      <w:r>
        <w:rPr>
          <w:rFonts w:ascii="Arial" w:hAnsi="Arial" w:cs="Arial"/>
          <w:b/>
          <w:noProof/>
          <w:sz w:val="28"/>
          <w:szCs w:val="28"/>
        </w:rPr>
        <mc:AlternateContent>
          <mc:Choice Requires="wps">
            <w:drawing>
              <wp:inline distT="0" distB="0" distL="0" distR="0">
                <wp:extent cx="7520940" cy="800100"/>
                <wp:effectExtent l="0" t="0" r="381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xk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" stroked="f">
                <v:textbo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326C5E" w:rsidRPr="00326C5E" w:rsidRDefault="00326C5E" w:rsidP="00984C03">
      <w:pPr>
        <w:rPr>
          <w:rFonts w:ascii="Arial" w:hAnsi="Arial" w:cs="Arial"/>
          <w:b/>
          <w:sz w:val="16"/>
          <w:szCs w:val="16"/>
        </w:rPr>
      </w:pPr>
    </w:p>
    <w:p w:rsidR="009D0374" w:rsidRPr="00C850FC" w:rsidRDefault="00260D6B" w:rsidP="00C850FC">
      <w:pPr>
        <w:jc w:val="center"/>
        <w:rPr>
          <w:rFonts w:ascii="Arial" w:hAnsi="Arial" w:cs="Arial"/>
          <w:b/>
          <w:sz w:val="36"/>
          <w:szCs w:val="36"/>
        </w:rPr>
      </w:pPr>
      <w:r>
        <w:rPr>
          <w:rFonts w:ascii="Arial" w:hAnsi="Arial" w:cs="Arial"/>
          <w:b/>
          <w:sz w:val="36"/>
          <w:szCs w:val="36"/>
        </w:rPr>
        <w:t>Refundable Credits Resources</w:t>
      </w:r>
    </w:p>
    <w:p w:rsidR="004E779A" w:rsidRPr="00CD3C57" w:rsidRDefault="00197385" w:rsidP="00C850FC">
      <w:pPr>
        <w:jc w:val="center"/>
        <w:rPr>
          <w:rFonts w:ascii="Arial" w:hAnsi="Arial" w:cs="Arial"/>
        </w:rPr>
      </w:pPr>
      <w:r w:rsidRPr="00CD3C57">
        <w:rPr>
          <w:rFonts w:ascii="Arial" w:hAnsi="Arial" w:cs="Arial"/>
        </w:rPr>
        <w:t>(Please click each heading for more information)</w:t>
      </w:r>
    </w:p>
    <w:p w:rsidR="00197385" w:rsidRPr="00CD3C57" w:rsidRDefault="00197385" w:rsidP="00C850FC">
      <w:pPr>
        <w:rPr>
          <w:rFonts w:ascii="Arial" w:hAnsi="Arial" w:cs="Arial"/>
          <w:b/>
          <w:sz w:val="28"/>
          <w:szCs w:val="28"/>
          <w:u w:val="single"/>
        </w:rPr>
      </w:pPr>
    </w:p>
    <w:p w:rsidR="00F511F1" w:rsidRPr="00CD3C57" w:rsidRDefault="00FB03B1" w:rsidP="00C850FC">
      <w:pPr>
        <w:rPr>
          <w:rFonts w:ascii="Arial" w:eastAsiaTheme="minorHAnsi" w:hAnsi="Arial" w:cs="Arial"/>
          <w:b/>
          <w:color w:val="0000FF" w:themeColor="hyperlink"/>
          <w:sz w:val="28"/>
          <w:szCs w:val="28"/>
          <w:u w:val="single"/>
        </w:rPr>
      </w:pPr>
      <w:hyperlink r:id="rId8" w:history="1">
        <w:r w:rsidR="00260D6B" w:rsidRPr="00260D6B">
          <w:rPr>
            <w:rStyle w:val="Hyperlink"/>
            <w:rFonts w:ascii="Arial" w:eastAsiaTheme="minorHAnsi" w:hAnsi="Arial" w:cs="Arial"/>
            <w:b/>
            <w:sz w:val="28"/>
            <w:szCs w:val="28"/>
          </w:rPr>
          <w:t>Other Refundable Credits Toolkit</w:t>
        </w:r>
      </w:hyperlink>
    </w:p>
    <w:p w:rsidR="003B0D36" w:rsidRDefault="00260D6B" w:rsidP="001F6D94">
      <w:pPr>
        <w:spacing w:after="360"/>
        <w:rPr>
          <w:rFonts w:ascii="Arial" w:eastAsiaTheme="minorHAnsi" w:hAnsi="Arial" w:cs="Arial"/>
          <w:sz w:val="22"/>
          <w:szCs w:val="22"/>
        </w:rPr>
      </w:pPr>
      <w:r w:rsidRPr="00260D6B">
        <w:rPr>
          <w:rFonts w:ascii="Arial" w:eastAsiaTheme="minorHAnsi" w:hAnsi="Arial" w:cs="Arial"/>
          <w:sz w:val="22"/>
          <w:szCs w:val="22"/>
        </w:rPr>
        <w:t>The toolkit brings you tools and resources for other refundable credits along with the Additional Child Tax Credit refundable portions. But, we also provide resources for Lifetime Learning Credit and the Child Tax Credit</w:t>
      </w:r>
      <w:r>
        <w:rPr>
          <w:rFonts w:ascii="Arial" w:eastAsiaTheme="minorHAnsi" w:hAnsi="Arial" w:cs="Arial"/>
          <w:sz w:val="22"/>
          <w:szCs w:val="22"/>
        </w:rPr>
        <w:t>.</w:t>
      </w:r>
    </w:p>
    <w:p w:rsidR="00C850FC" w:rsidRPr="00C850FC" w:rsidRDefault="00C850FC" w:rsidP="00C850FC">
      <w:pPr>
        <w:rPr>
          <w:rFonts w:ascii="Arial" w:hAnsi="Arial" w:cs="Arial"/>
          <w:sz w:val="22"/>
          <w:szCs w:val="22"/>
        </w:rPr>
      </w:pPr>
    </w:p>
    <w:p w:rsidR="003B0D36" w:rsidRPr="00CD3C57" w:rsidRDefault="00FB03B1" w:rsidP="00C850FC">
      <w:pPr>
        <w:rPr>
          <w:rFonts w:ascii="Arial" w:eastAsiaTheme="minorHAnsi" w:hAnsi="Arial" w:cs="Arial"/>
          <w:b/>
          <w:sz w:val="28"/>
          <w:szCs w:val="28"/>
          <w:u w:val="single"/>
        </w:rPr>
      </w:pPr>
      <w:hyperlink r:id="rId9" w:history="1">
        <w:r w:rsidR="00260D6B" w:rsidRPr="00260D6B">
          <w:rPr>
            <w:rStyle w:val="Hyperlink"/>
            <w:rFonts w:ascii="Arial" w:eastAsiaTheme="minorHAnsi" w:hAnsi="Arial" w:cs="Arial"/>
            <w:b/>
            <w:sz w:val="28"/>
            <w:szCs w:val="28"/>
          </w:rPr>
          <w:t xml:space="preserve">Understanding </w:t>
        </w:r>
        <w:proofErr w:type="gramStart"/>
        <w:r w:rsidR="00260D6B" w:rsidRPr="00260D6B">
          <w:rPr>
            <w:rStyle w:val="Hyperlink"/>
            <w:rFonts w:ascii="Arial" w:eastAsiaTheme="minorHAnsi" w:hAnsi="Arial" w:cs="Arial"/>
            <w:b/>
            <w:sz w:val="28"/>
            <w:szCs w:val="28"/>
          </w:rPr>
          <w:t>Who</w:t>
        </w:r>
        <w:proofErr w:type="gramEnd"/>
        <w:r w:rsidR="00260D6B" w:rsidRPr="00260D6B">
          <w:rPr>
            <w:rStyle w:val="Hyperlink"/>
            <w:rFonts w:ascii="Arial" w:eastAsiaTheme="minorHAnsi" w:hAnsi="Arial" w:cs="Arial"/>
            <w:b/>
            <w:sz w:val="28"/>
            <w:szCs w:val="28"/>
          </w:rPr>
          <w:t xml:space="preserve"> is a Qualifying Child</w:t>
        </w:r>
      </w:hyperlink>
    </w:p>
    <w:p w:rsidR="00260D6B" w:rsidRPr="00260D6B" w:rsidRDefault="00260D6B" w:rsidP="00260D6B">
      <w:pPr>
        <w:rPr>
          <w:rFonts w:ascii="Arial" w:eastAsiaTheme="minorHAnsi" w:hAnsi="Arial" w:cs="Arial"/>
          <w:sz w:val="22"/>
          <w:szCs w:val="22"/>
        </w:rPr>
      </w:pPr>
      <w:r w:rsidRPr="00260D6B">
        <w:rPr>
          <w:rFonts w:ascii="Arial" w:eastAsiaTheme="minorHAnsi" w:hAnsi="Arial" w:cs="Arial"/>
          <w:sz w:val="22"/>
          <w:szCs w:val="22"/>
        </w:rPr>
        <w:t xml:space="preserve">Learn the basic tests a child must meet under the Uniform Definition of a Qualifying Child and then each credit has additional rules the child and the person claiming the child must meet. </w:t>
      </w:r>
    </w:p>
    <w:p w:rsidR="009E76D0" w:rsidRPr="00260D6B" w:rsidRDefault="009E76D0" w:rsidP="001F6D94">
      <w:pPr>
        <w:spacing w:after="360"/>
        <w:rPr>
          <w:rFonts w:ascii="Arial" w:eastAsiaTheme="minorHAnsi" w:hAnsi="Arial" w:cs="Arial"/>
          <w:sz w:val="22"/>
          <w:szCs w:val="22"/>
        </w:rPr>
      </w:pPr>
    </w:p>
    <w:p w:rsidR="003B0D36" w:rsidRPr="00CD3C57" w:rsidRDefault="00FB03B1" w:rsidP="00C850FC">
      <w:pPr>
        <w:rPr>
          <w:rFonts w:ascii="Arial" w:eastAsiaTheme="minorHAnsi" w:hAnsi="Arial" w:cs="Arial"/>
          <w:b/>
          <w:color w:val="0000FF"/>
          <w:sz w:val="28"/>
          <w:szCs w:val="28"/>
          <w:u w:val="single"/>
        </w:rPr>
      </w:pPr>
      <w:hyperlink r:id="rId10" w:history="1">
        <w:r w:rsidR="00260D6B" w:rsidRPr="00260D6B">
          <w:rPr>
            <w:rStyle w:val="Hyperlink"/>
            <w:rFonts w:ascii="Arial" w:eastAsiaTheme="minorHAnsi" w:hAnsi="Arial" w:cs="Arial"/>
            <w:b/>
            <w:sz w:val="28"/>
            <w:szCs w:val="28"/>
          </w:rPr>
          <w:t>What You Need to Know about CTC and ACTC</w:t>
        </w:r>
      </w:hyperlink>
    </w:p>
    <w:p w:rsidR="00260D6B" w:rsidRPr="00260D6B" w:rsidRDefault="00260D6B" w:rsidP="00260D6B">
      <w:pPr>
        <w:rPr>
          <w:rFonts w:ascii="Arial" w:eastAsiaTheme="minorHAnsi" w:hAnsi="Arial" w:cs="Arial"/>
          <w:sz w:val="22"/>
          <w:szCs w:val="22"/>
        </w:rPr>
      </w:pPr>
      <w:r w:rsidRPr="00260D6B">
        <w:rPr>
          <w:rFonts w:ascii="Arial" w:eastAsiaTheme="minorHAnsi" w:hAnsi="Arial" w:cs="Arial"/>
          <w:sz w:val="22"/>
          <w:szCs w:val="22"/>
        </w:rPr>
        <w:t>Here's what you need to know about the CTC, Child Tax Credit, and the refundable portion, the ACTC, Additional Child Tax Credit.</w:t>
      </w:r>
    </w:p>
    <w:p w:rsidR="009E76D0" w:rsidRDefault="009E76D0" w:rsidP="001F6D94">
      <w:pPr>
        <w:spacing w:after="360"/>
        <w:rPr>
          <w:rFonts w:ascii="Arial" w:eastAsiaTheme="minorHAnsi" w:hAnsi="Arial" w:cs="Arial"/>
          <w:b/>
          <w:color w:val="0000FF" w:themeColor="hyperlink"/>
          <w:sz w:val="20"/>
          <w:szCs w:val="20"/>
          <w:u w:val="single"/>
        </w:rPr>
      </w:pPr>
    </w:p>
    <w:p w:rsidR="00FC2933" w:rsidRPr="00CD3C57" w:rsidRDefault="00FB03B1" w:rsidP="00C850FC">
      <w:pPr>
        <w:rPr>
          <w:rFonts w:ascii="Arial" w:eastAsiaTheme="minorHAnsi" w:hAnsi="Arial" w:cs="Arial"/>
          <w:b/>
          <w:color w:val="0000FF" w:themeColor="hyperlink"/>
          <w:sz w:val="28"/>
          <w:szCs w:val="28"/>
          <w:u w:val="single"/>
        </w:rPr>
      </w:pPr>
      <w:hyperlink r:id="rId11" w:history="1">
        <w:r w:rsidR="00260D6B" w:rsidRPr="00260D6B">
          <w:rPr>
            <w:rStyle w:val="Hyperlink"/>
            <w:rFonts w:ascii="Arial" w:eastAsiaTheme="minorHAnsi" w:hAnsi="Arial" w:cs="Arial"/>
            <w:b/>
            <w:sz w:val="28"/>
            <w:szCs w:val="28"/>
          </w:rPr>
          <w:t>Child-Related Tax Benefits Comparison</w:t>
        </w:r>
      </w:hyperlink>
    </w:p>
    <w:p w:rsidR="009E76D0" w:rsidRPr="00260D6B" w:rsidRDefault="00260D6B" w:rsidP="001F6D94">
      <w:pPr>
        <w:spacing w:after="360"/>
        <w:rPr>
          <w:rFonts w:ascii="Arial" w:eastAsiaTheme="minorHAnsi" w:hAnsi="Arial" w:cs="Arial"/>
          <w:sz w:val="22"/>
          <w:szCs w:val="22"/>
        </w:rPr>
      </w:pPr>
      <w:r w:rsidRPr="00260D6B">
        <w:rPr>
          <w:rFonts w:ascii="Arial" w:eastAsiaTheme="minorHAnsi" w:hAnsi="Arial" w:cs="Arial"/>
          <w:sz w:val="22"/>
          <w:szCs w:val="22"/>
        </w:rPr>
        <w:t>This chart shows some of the basic eligibility requirements for tax benefits available to those with a qualifying child.</w:t>
      </w:r>
    </w:p>
    <w:p w:rsidR="009E76D0" w:rsidRPr="00CD3C57" w:rsidRDefault="009E76D0" w:rsidP="00C850FC">
      <w:pPr>
        <w:rPr>
          <w:rFonts w:ascii="Arial" w:eastAsiaTheme="minorHAnsi" w:hAnsi="Arial" w:cs="Arial"/>
          <w:sz w:val="20"/>
          <w:szCs w:val="20"/>
        </w:rPr>
      </w:pPr>
    </w:p>
    <w:p w:rsidR="003B0D36" w:rsidRPr="00CD3C57" w:rsidRDefault="00FB03B1" w:rsidP="00C850FC">
      <w:pPr>
        <w:rPr>
          <w:rFonts w:ascii="Arial" w:eastAsiaTheme="minorHAnsi" w:hAnsi="Arial" w:cs="Arial"/>
          <w:b/>
          <w:sz w:val="28"/>
          <w:szCs w:val="28"/>
          <w:u w:val="single"/>
        </w:rPr>
      </w:pPr>
      <w:hyperlink r:id="rId12" w:history="1">
        <w:r w:rsidR="00260D6B" w:rsidRPr="00260D6B">
          <w:rPr>
            <w:rStyle w:val="Hyperlink"/>
            <w:rFonts w:ascii="Arial" w:eastAsiaTheme="minorHAnsi" w:hAnsi="Arial" w:cs="Arial"/>
            <w:b/>
            <w:sz w:val="28"/>
            <w:szCs w:val="28"/>
          </w:rPr>
          <w:t xml:space="preserve">Webinar: Not just college credits, </w:t>
        </w:r>
        <w:proofErr w:type="gramStart"/>
        <w:r w:rsidR="00260D6B" w:rsidRPr="00260D6B">
          <w:rPr>
            <w:rStyle w:val="Hyperlink"/>
            <w:rFonts w:ascii="Arial" w:eastAsiaTheme="minorHAnsi" w:hAnsi="Arial" w:cs="Arial"/>
            <w:b/>
            <w:sz w:val="28"/>
            <w:szCs w:val="28"/>
          </w:rPr>
          <w:t>it's</w:t>
        </w:r>
        <w:proofErr w:type="gramEnd"/>
        <w:r w:rsidR="00260D6B" w:rsidRPr="00260D6B">
          <w:rPr>
            <w:rStyle w:val="Hyperlink"/>
            <w:rFonts w:ascii="Arial" w:eastAsiaTheme="minorHAnsi" w:hAnsi="Arial" w:cs="Arial"/>
            <w:b/>
            <w:sz w:val="28"/>
            <w:szCs w:val="28"/>
          </w:rPr>
          <w:t xml:space="preserve"> tax credits too!</w:t>
        </w:r>
      </w:hyperlink>
    </w:p>
    <w:p w:rsidR="00260D6B" w:rsidRPr="00260D6B" w:rsidRDefault="00260D6B" w:rsidP="00260D6B">
      <w:pPr>
        <w:rPr>
          <w:rFonts w:ascii="Arial" w:eastAsiaTheme="minorHAnsi" w:hAnsi="Arial" w:cs="Arial"/>
          <w:sz w:val="22"/>
          <w:szCs w:val="22"/>
        </w:rPr>
      </w:pPr>
      <w:r w:rsidRPr="00260D6B">
        <w:rPr>
          <w:rFonts w:ascii="Arial" w:eastAsiaTheme="minorHAnsi" w:hAnsi="Arial" w:cs="Arial"/>
          <w:sz w:val="22"/>
          <w:szCs w:val="22"/>
        </w:rPr>
        <w:t xml:space="preserve">Learn about education credits and eligibility requirements along with information about the American Opportunity Tax Credits, Form 1098-T and much more. </w:t>
      </w:r>
    </w:p>
    <w:p w:rsidR="009E76D0" w:rsidRDefault="009E76D0" w:rsidP="00C850FC">
      <w:pPr>
        <w:rPr>
          <w:rFonts w:ascii="Arial" w:eastAsiaTheme="minorHAnsi" w:hAnsi="Arial" w:cs="Arial"/>
          <w:sz w:val="22"/>
          <w:szCs w:val="22"/>
        </w:rPr>
      </w:pPr>
    </w:p>
    <w:p w:rsidR="00503557" w:rsidRPr="00260D6B" w:rsidRDefault="00260D6B" w:rsidP="00260D6B">
      <w:pPr>
        <w:spacing w:after="360"/>
        <w:rPr>
          <w:rFonts w:ascii="Arial" w:eastAsiaTheme="minorHAnsi" w:hAnsi="Arial" w:cs="Arial"/>
          <w:color w:val="0000FF" w:themeColor="hyperlink"/>
          <w:sz w:val="16"/>
          <w:szCs w:val="16"/>
          <w:u w:val="single"/>
        </w:rPr>
      </w:pPr>
      <w:r>
        <w:t xml:space="preserve"> </w:t>
      </w:r>
    </w:p>
    <w:p w:rsidR="00CD3C57" w:rsidRDefault="00CD3C57" w:rsidP="00C850FC">
      <w:pPr>
        <w:rPr>
          <w:rFonts w:ascii="Arial" w:hAnsi="Arial" w:cs="Arial"/>
          <w:b/>
        </w:rPr>
      </w:pPr>
      <w:r w:rsidRPr="00CD3C57">
        <w:rPr>
          <w:rFonts w:ascii="Arial" w:hAnsi="Arial" w:cs="Arial"/>
          <w:b/>
        </w:rPr>
        <w:t>Contact:</w:t>
      </w:r>
      <w:r>
        <w:rPr>
          <w:rFonts w:ascii="Arial" w:hAnsi="Arial" w:cs="Arial"/>
          <w:b/>
        </w:rPr>
        <w:t xml:space="preserve"> </w:t>
      </w:r>
      <w:r w:rsidRPr="00CD3C57">
        <w:rPr>
          <w:rFonts w:ascii="Arial" w:hAnsi="Arial" w:cs="Arial"/>
        </w:rPr>
        <w:t>SL name</w:t>
      </w:r>
    </w:p>
    <w:p w:rsidR="00CD3C57" w:rsidRPr="00CD3C57" w:rsidRDefault="00CD3C57" w:rsidP="00C850FC">
      <w:pPr>
        <w:rPr>
          <w:rFonts w:ascii="Arial" w:hAnsi="Arial" w:cs="Arial"/>
        </w:rPr>
      </w:pPr>
      <w:r>
        <w:rPr>
          <w:rFonts w:ascii="Arial" w:hAnsi="Arial" w:cs="Arial"/>
          <w:b/>
        </w:rPr>
        <w:t xml:space="preserve">Phone: </w:t>
      </w:r>
    </w:p>
    <w:p w:rsidR="00276BB6" w:rsidRDefault="00CD3C57" w:rsidP="00C850FC">
      <w:pPr>
        <w:rPr>
          <w:rFonts w:ascii="Arial" w:hAnsi="Arial" w:cs="Arial"/>
          <w:b/>
        </w:rPr>
      </w:pPr>
      <w:r>
        <w:rPr>
          <w:rFonts w:ascii="Arial" w:hAnsi="Arial" w:cs="Arial"/>
          <w:b/>
        </w:rPr>
        <w:t>Em</w:t>
      </w:r>
      <w:r w:rsidR="00C850FC">
        <w:rPr>
          <w:rFonts w:ascii="Arial" w:hAnsi="Arial" w:cs="Arial"/>
          <w:b/>
        </w:rPr>
        <w:t>a</w:t>
      </w:r>
      <w:r>
        <w:rPr>
          <w:rFonts w:ascii="Arial" w:hAnsi="Arial" w:cs="Arial"/>
          <w:b/>
        </w:rPr>
        <w:t xml:space="preserve">il: </w:t>
      </w:r>
    </w:p>
    <w:p w:rsidR="00C850FC" w:rsidRDefault="00C850FC" w:rsidP="00C850FC">
      <w:pPr>
        <w:rPr>
          <w:rFonts w:ascii="Arial" w:hAnsi="Arial" w:cs="Arial"/>
          <w:b/>
        </w:rPr>
      </w:pPr>
    </w:p>
    <w:p w:rsidR="00CD3C57" w:rsidRPr="009E76D0" w:rsidRDefault="00FB03B1" w:rsidP="00C850FC">
      <w:pPr>
        <w:rPr>
          <w:rFonts w:ascii="Arial" w:hAnsi="Arial" w:cs="Arial"/>
        </w:rPr>
      </w:pPr>
      <w:hyperlink r:id="rId13" w:history="1">
        <w:r w:rsidR="00C850FC" w:rsidRPr="009E76D0">
          <w:rPr>
            <w:rStyle w:val="Hyperlink"/>
            <w:rFonts w:ascii="Arial" w:hAnsi="Arial" w:cs="Arial"/>
          </w:rPr>
          <w:t>Stakeholder Liaison Local Contacts</w:t>
        </w:r>
      </w:hyperlink>
    </w:p>
    <w:p w:rsidR="00C850FC" w:rsidRDefault="00C850FC" w:rsidP="00C850FC">
      <w:pPr>
        <w:rPr>
          <w:rFonts w:ascii="Arial" w:hAnsi="Arial" w:cs="Arial"/>
          <w:b/>
        </w:rPr>
      </w:pPr>
    </w:p>
    <w:p w:rsidR="00C850FC" w:rsidRDefault="00C850FC" w:rsidP="00C850FC">
      <w:pPr>
        <w:rPr>
          <w:rFonts w:ascii="Arial" w:hAnsi="Arial" w:cs="Arial"/>
          <w:b/>
          <w:bCs/>
          <w:sz w:val="22"/>
          <w:szCs w:val="22"/>
        </w:rPr>
      </w:pPr>
    </w:p>
    <w:p w:rsidR="00C850FC" w:rsidRPr="00C850FC" w:rsidRDefault="00C850FC" w:rsidP="00C850FC">
      <w:pPr>
        <w:rPr>
          <w:rFonts w:ascii="Arial" w:hAnsi="Arial" w:cs="Arial"/>
          <w:b/>
          <w:sz w:val="22"/>
          <w:szCs w:val="22"/>
        </w:rPr>
      </w:pPr>
      <w:r w:rsidRPr="00C850FC">
        <w:rPr>
          <w:rFonts w:ascii="Arial" w:hAnsi="Arial" w:cs="Arial"/>
          <w:b/>
          <w:bCs/>
          <w:sz w:val="22"/>
          <w:szCs w:val="22"/>
        </w:rPr>
        <w:t>Issue Management Resolution System (IMRS): </w:t>
      </w:r>
      <w:r w:rsidRPr="00C850FC">
        <w:rPr>
          <w:rFonts w:ascii="Arial" w:hAnsi="Arial" w:cs="Arial"/>
          <w:sz w:val="22"/>
          <w:szCs w:val="22"/>
        </w:rPr>
        <w:t xml:space="preserve">IMRS is an internal IRS system that captures, develops and responds to significant national and local stakeholder issues. When stakeholders notify the IRS of concerns about systemic problems or IRS policies, practices and procedures, analysts research and respond to the issues. For additional information, see link to </w:t>
      </w:r>
      <w:hyperlink r:id="rId14" w:history="1">
        <w:r w:rsidRPr="00C850FC">
          <w:rPr>
            <w:rStyle w:val="Hyperlink"/>
            <w:rFonts w:ascii="Arial" w:hAnsi="Arial" w:cs="Arial"/>
            <w:sz w:val="22"/>
            <w:szCs w:val="22"/>
          </w:rPr>
          <w:t>IMRS</w:t>
        </w:r>
      </w:hyperlink>
      <w:r w:rsidRPr="00C850FC">
        <w:rPr>
          <w:rFonts w:ascii="Arial" w:hAnsi="Arial" w:cs="Arial"/>
          <w:sz w:val="22"/>
          <w:szCs w:val="22"/>
        </w:rPr>
        <w:t xml:space="preserve">. Tax professionals should forward significant issues regarding IRS policies, practices and issues to their </w:t>
      </w:r>
      <w:hyperlink r:id="rId15" w:history="1">
        <w:r w:rsidRPr="00C850FC">
          <w:rPr>
            <w:rStyle w:val="Hyperlink"/>
            <w:rFonts w:ascii="Arial" w:hAnsi="Arial" w:cs="Arial"/>
            <w:sz w:val="22"/>
            <w:szCs w:val="22"/>
          </w:rPr>
          <w:t>Stakeholder Liaison (SL) Local Contacts</w:t>
        </w:r>
      </w:hyperlink>
      <w:r w:rsidRPr="00C850FC">
        <w:rPr>
          <w:rFonts w:ascii="Arial" w:hAnsi="Arial" w:cs="Arial"/>
          <w:b/>
          <w:sz w:val="22"/>
          <w:szCs w:val="22"/>
        </w:rPr>
        <w:t>. </w:t>
      </w:r>
    </w:p>
    <w:p w:rsidR="00C850FC" w:rsidRPr="00C850FC" w:rsidRDefault="00C850FC" w:rsidP="00C850FC">
      <w:pPr>
        <w:rPr>
          <w:rFonts w:ascii="Arial" w:hAnsi="Arial" w:cs="Arial"/>
          <w:b/>
          <w:sz w:val="22"/>
          <w:szCs w:val="22"/>
        </w:rPr>
      </w:pPr>
    </w:p>
    <w:p w:rsidR="00C850FC" w:rsidRPr="00C850FC" w:rsidRDefault="00C850FC" w:rsidP="00C850FC">
      <w:pPr>
        <w:rPr>
          <w:rFonts w:ascii="Arial" w:hAnsi="Arial" w:cs="Arial"/>
          <w:bCs/>
          <w:sz w:val="22"/>
          <w:szCs w:val="22"/>
        </w:rPr>
      </w:pPr>
      <w:r w:rsidRPr="00C850FC">
        <w:rPr>
          <w:rFonts w:ascii="Arial" w:hAnsi="Arial" w:cs="Arial"/>
          <w:bCs/>
          <w:sz w:val="22"/>
          <w:szCs w:val="22"/>
        </w:rPr>
        <w:t xml:space="preserve">You may prefer to share ideas for reducing taxpayer burden directly with the Taxpayer Burden Reduction (TBR) Program using </w:t>
      </w:r>
      <w:hyperlink r:id="rId16" w:history="1">
        <w:r w:rsidRPr="00C850FC">
          <w:rPr>
            <w:rStyle w:val="Hyperlink"/>
            <w:rFonts w:ascii="Arial" w:hAnsi="Arial" w:cs="Arial"/>
            <w:bCs/>
            <w:sz w:val="22"/>
            <w:szCs w:val="22"/>
          </w:rPr>
          <w:t xml:space="preserve">Form 13285A, </w:t>
        </w:r>
        <w:r w:rsidRPr="00C850FC">
          <w:rPr>
            <w:rStyle w:val="Hyperlink"/>
            <w:rFonts w:ascii="Arial" w:hAnsi="Arial" w:cs="Arial"/>
            <w:bCs/>
            <w:i/>
            <w:iCs/>
            <w:sz w:val="22"/>
            <w:szCs w:val="22"/>
          </w:rPr>
          <w:t>Reducing Tax Burden on America’s Taxpayers</w:t>
        </w:r>
      </w:hyperlink>
      <w:r w:rsidR="009E76D0">
        <w:rPr>
          <w:rFonts w:ascii="Arial" w:hAnsi="Arial" w:cs="Arial"/>
          <w:bCs/>
          <w:sz w:val="22"/>
          <w:szCs w:val="22"/>
        </w:rPr>
        <w:t>.</w:t>
      </w:r>
    </w:p>
    <w:sectPr w:rsidR="00C850FC" w:rsidRPr="00C850FC" w:rsidSect="0063384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CF7"/>
    <w:multiLevelType w:val="hybridMultilevel"/>
    <w:tmpl w:val="585A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3D9C"/>
    <w:multiLevelType w:val="hybridMultilevel"/>
    <w:tmpl w:val="452AC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F287F"/>
    <w:multiLevelType w:val="hybridMultilevel"/>
    <w:tmpl w:val="A9688ABA"/>
    <w:lvl w:ilvl="0" w:tplc="9E5A6DB4">
      <w:start w:val="1"/>
      <w:numFmt w:val="bullet"/>
      <w:lvlText w:val="•"/>
      <w:lvlJc w:val="left"/>
      <w:pPr>
        <w:tabs>
          <w:tab w:val="num" w:pos="720"/>
        </w:tabs>
        <w:ind w:left="720" w:hanging="360"/>
      </w:pPr>
      <w:rPr>
        <w:rFonts w:ascii="Times New Roman" w:hAnsi="Times New Roman" w:hint="default"/>
      </w:rPr>
    </w:lvl>
    <w:lvl w:ilvl="1" w:tplc="2DDCBDE6" w:tentative="1">
      <w:start w:val="1"/>
      <w:numFmt w:val="bullet"/>
      <w:lvlText w:val="•"/>
      <w:lvlJc w:val="left"/>
      <w:pPr>
        <w:tabs>
          <w:tab w:val="num" w:pos="1440"/>
        </w:tabs>
        <w:ind w:left="1440" w:hanging="360"/>
      </w:pPr>
      <w:rPr>
        <w:rFonts w:ascii="Times New Roman" w:hAnsi="Times New Roman" w:hint="default"/>
      </w:rPr>
    </w:lvl>
    <w:lvl w:ilvl="2" w:tplc="DA268E08" w:tentative="1">
      <w:start w:val="1"/>
      <w:numFmt w:val="bullet"/>
      <w:lvlText w:val="•"/>
      <w:lvlJc w:val="left"/>
      <w:pPr>
        <w:tabs>
          <w:tab w:val="num" w:pos="2160"/>
        </w:tabs>
        <w:ind w:left="2160" w:hanging="360"/>
      </w:pPr>
      <w:rPr>
        <w:rFonts w:ascii="Times New Roman" w:hAnsi="Times New Roman" w:hint="default"/>
      </w:rPr>
    </w:lvl>
    <w:lvl w:ilvl="3" w:tplc="30C082D8" w:tentative="1">
      <w:start w:val="1"/>
      <w:numFmt w:val="bullet"/>
      <w:lvlText w:val="•"/>
      <w:lvlJc w:val="left"/>
      <w:pPr>
        <w:tabs>
          <w:tab w:val="num" w:pos="2880"/>
        </w:tabs>
        <w:ind w:left="2880" w:hanging="360"/>
      </w:pPr>
      <w:rPr>
        <w:rFonts w:ascii="Times New Roman" w:hAnsi="Times New Roman" w:hint="default"/>
      </w:rPr>
    </w:lvl>
    <w:lvl w:ilvl="4" w:tplc="295AEB84" w:tentative="1">
      <w:start w:val="1"/>
      <w:numFmt w:val="bullet"/>
      <w:lvlText w:val="•"/>
      <w:lvlJc w:val="left"/>
      <w:pPr>
        <w:tabs>
          <w:tab w:val="num" w:pos="3600"/>
        </w:tabs>
        <w:ind w:left="3600" w:hanging="360"/>
      </w:pPr>
      <w:rPr>
        <w:rFonts w:ascii="Times New Roman" w:hAnsi="Times New Roman" w:hint="default"/>
      </w:rPr>
    </w:lvl>
    <w:lvl w:ilvl="5" w:tplc="EFE0075A" w:tentative="1">
      <w:start w:val="1"/>
      <w:numFmt w:val="bullet"/>
      <w:lvlText w:val="•"/>
      <w:lvlJc w:val="left"/>
      <w:pPr>
        <w:tabs>
          <w:tab w:val="num" w:pos="4320"/>
        </w:tabs>
        <w:ind w:left="4320" w:hanging="360"/>
      </w:pPr>
      <w:rPr>
        <w:rFonts w:ascii="Times New Roman" w:hAnsi="Times New Roman" w:hint="default"/>
      </w:rPr>
    </w:lvl>
    <w:lvl w:ilvl="6" w:tplc="66C28DE2" w:tentative="1">
      <w:start w:val="1"/>
      <w:numFmt w:val="bullet"/>
      <w:lvlText w:val="•"/>
      <w:lvlJc w:val="left"/>
      <w:pPr>
        <w:tabs>
          <w:tab w:val="num" w:pos="5040"/>
        </w:tabs>
        <w:ind w:left="5040" w:hanging="360"/>
      </w:pPr>
      <w:rPr>
        <w:rFonts w:ascii="Times New Roman" w:hAnsi="Times New Roman" w:hint="default"/>
      </w:rPr>
    </w:lvl>
    <w:lvl w:ilvl="7" w:tplc="98046638" w:tentative="1">
      <w:start w:val="1"/>
      <w:numFmt w:val="bullet"/>
      <w:lvlText w:val="•"/>
      <w:lvlJc w:val="left"/>
      <w:pPr>
        <w:tabs>
          <w:tab w:val="num" w:pos="5760"/>
        </w:tabs>
        <w:ind w:left="5760" w:hanging="360"/>
      </w:pPr>
      <w:rPr>
        <w:rFonts w:ascii="Times New Roman" w:hAnsi="Times New Roman" w:hint="default"/>
      </w:rPr>
    </w:lvl>
    <w:lvl w:ilvl="8" w:tplc="FCFE2E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7C1299"/>
    <w:multiLevelType w:val="hybridMultilevel"/>
    <w:tmpl w:val="1F7E736A"/>
    <w:lvl w:ilvl="0" w:tplc="04090001">
      <w:start w:val="1"/>
      <w:numFmt w:val="bullet"/>
      <w:lvlText w:val=""/>
      <w:lvlJc w:val="left"/>
      <w:pPr>
        <w:ind w:left="720" w:hanging="360"/>
      </w:pPr>
      <w:rPr>
        <w:rFonts w:ascii="Symbol" w:hAnsi="Symbol" w:hint="default"/>
      </w:rPr>
    </w:lvl>
    <w:lvl w:ilvl="1" w:tplc="0A746CE6">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288E"/>
    <w:multiLevelType w:val="hybridMultilevel"/>
    <w:tmpl w:val="FE6E5FE0"/>
    <w:lvl w:ilvl="0" w:tplc="8C6229A2">
      <w:start w:val="1"/>
      <w:numFmt w:val="bullet"/>
      <w:lvlText w:val="•"/>
      <w:lvlJc w:val="left"/>
      <w:pPr>
        <w:tabs>
          <w:tab w:val="num" w:pos="720"/>
        </w:tabs>
        <w:ind w:left="720" w:hanging="360"/>
      </w:pPr>
      <w:rPr>
        <w:rFonts w:ascii="Times New Roman" w:hAnsi="Times New Roman" w:hint="default"/>
      </w:rPr>
    </w:lvl>
    <w:lvl w:ilvl="1" w:tplc="8A7C462A" w:tentative="1">
      <w:start w:val="1"/>
      <w:numFmt w:val="bullet"/>
      <w:lvlText w:val="•"/>
      <w:lvlJc w:val="left"/>
      <w:pPr>
        <w:tabs>
          <w:tab w:val="num" w:pos="1440"/>
        </w:tabs>
        <w:ind w:left="1440" w:hanging="360"/>
      </w:pPr>
      <w:rPr>
        <w:rFonts w:ascii="Times New Roman" w:hAnsi="Times New Roman" w:hint="default"/>
      </w:rPr>
    </w:lvl>
    <w:lvl w:ilvl="2" w:tplc="20F8309E" w:tentative="1">
      <w:start w:val="1"/>
      <w:numFmt w:val="bullet"/>
      <w:lvlText w:val="•"/>
      <w:lvlJc w:val="left"/>
      <w:pPr>
        <w:tabs>
          <w:tab w:val="num" w:pos="2160"/>
        </w:tabs>
        <w:ind w:left="2160" w:hanging="360"/>
      </w:pPr>
      <w:rPr>
        <w:rFonts w:ascii="Times New Roman" w:hAnsi="Times New Roman" w:hint="default"/>
      </w:rPr>
    </w:lvl>
    <w:lvl w:ilvl="3" w:tplc="897487D4" w:tentative="1">
      <w:start w:val="1"/>
      <w:numFmt w:val="bullet"/>
      <w:lvlText w:val="•"/>
      <w:lvlJc w:val="left"/>
      <w:pPr>
        <w:tabs>
          <w:tab w:val="num" w:pos="2880"/>
        </w:tabs>
        <w:ind w:left="2880" w:hanging="360"/>
      </w:pPr>
      <w:rPr>
        <w:rFonts w:ascii="Times New Roman" w:hAnsi="Times New Roman" w:hint="default"/>
      </w:rPr>
    </w:lvl>
    <w:lvl w:ilvl="4" w:tplc="4D8C885A" w:tentative="1">
      <w:start w:val="1"/>
      <w:numFmt w:val="bullet"/>
      <w:lvlText w:val="•"/>
      <w:lvlJc w:val="left"/>
      <w:pPr>
        <w:tabs>
          <w:tab w:val="num" w:pos="3600"/>
        </w:tabs>
        <w:ind w:left="3600" w:hanging="360"/>
      </w:pPr>
      <w:rPr>
        <w:rFonts w:ascii="Times New Roman" w:hAnsi="Times New Roman" w:hint="default"/>
      </w:rPr>
    </w:lvl>
    <w:lvl w:ilvl="5" w:tplc="8B20CC54" w:tentative="1">
      <w:start w:val="1"/>
      <w:numFmt w:val="bullet"/>
      <w:lvlText w:val="•"/>
      <w:lvlJc w:val="left"/>
      <w:pPr>
        <w:tabs>
          <w:tab w:val="num" w:pos="4320"/>
        </w:tabs>
        <w:ind w:left="4320" w:hanging="360"/>
      </w:pPr>
      <w:rPr>
        <w:rFonts w:ascii="Times New Roman" w:hAnsi="Times New Roman" w:hint="default"/>
      </w:rPr>
    </w:lvl>
    <w:lvl w:ilvl="6" w:tplc="3948D90C" w:tentative="1">
      <w:start w:val="1"/>
      <w:numFmt w:val="bullet"/>
      <w:lvlText w:val="•"/>
      <w:lvlJc w:val="left"/>
      <w:pPr>
        <w:tabs>
          <w:tab w:val="num" w:pos="5040"/>
        </w:tabs>
        <w:ind w:left="5040" w:hanging="360"/>
      </w:pPr>
      <w:rPr>
        <w:rFonts w:ascii="Times New Roman" w:hAnsi="Times New Roman" w:hint="default"/>
      </w:rPr>
    </w:lvl>
    <w:lvl w:ilvl="7" w:tplc="30268E3C" w:tentative="1">
      <w:start w:val="1"/>
      <w:numFmt w:val="bullet"/>
      <w:lvlText w:val="•"/>
      <w:lvlJc w:val="left"/>
      <w:pPr>
        <w:tabs>
          <w:tab w:val="num" w:pos="5760"/>
        </w:tabs>
        <w:ind w:left="5760" w:hanging="360"/>
      </w:pPr>
      <w:rPr>
        <w:rFonts w:ascii="Times New Roman" w:hAnsi="Times New Roman" w:hint="default"/>
      </w:rPr>
    </w:lvl>
    <w:lvl w:ilvl="8" w:tplc="0E567C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E9147B"/>
    <w:multiLevelType w:val="hybridMultilevel"/>
    <w:tmpl w:val="CDD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B04FE2"/>
    <w:multiLevelType w:val="hybridMultilevel"/>
    <w:tmpl w:val="AA46B8D8"/>
    <w:lvl w:ilvl="0" w:tplc="C6BA662E">
      <w:start w:val="1"/>
      <w:numFmt w:val="bullet"/>
      <w:lvlText w:val="•"/>
      <w:lvlJc w:val="left"/>
      <w:pPr>
        <w:tabs>
          <w:tab w:val="num" w:pos="720"/>
        </w:tabs>
        <w:ind w:left="720" w:hanging="360"/>
      </w:pPr>
      <w:rPr>
        <w:rFonts w:ascii="Times New Roman" w:hAnsi="Times New Roman" w:hint="default"/>
      </w:rPr>
    </w:lvl>
    <w:lvl w:ilvl="1" w:tplc="48566426" w:tentative="1">
      <w:start w:val="1"/>
      <w:numFmt w:val="bullet"/>
      <w:lvlText w:val="•"/>
      <w:lvlJc w:val="left"/>
      <w:pPr>
        <w:tabs>
          <w:tab w:val="num" w:pos="1440"/>
        </w:tabs>
        <w:ind w:left="1440" w:hanging="360"/>
      </w:pPr>
      <w:rPr>
        <w:rFonts w:ascii="Times New Roman" w:hAnsi="Times New Roman" w:hint="default"/>
      </w:rPr>
    </w:lvl>
    <w:lvl w:ilvl="2" w:tplc="971A26AA" w:tentative="1">
      <w:start w:val="1"/>
      <w:numFmt w:val="bullet"/>
      <w:lvlText w:val="•"/>
      <w:lvlJc w:val="left"/>
      <w:pPr>
        <w:tabs>
          <w:tab w:val="num" w:pos="2160"/>
        </w:tabs>
        <w:ind w:left="2160" w:hanging="360"/>
      </w:pPr>
      <w:rPr>
        <w:rFonts w:ascii="Times New Roman" w:hAnsi="Times New Roman" w:hint="default"/>
      </w:rPr>
    </w:lvl>
    <w:lvl w:ilvl="3" w:tplc="A33843EC" w:tentative="1">
      <w:start w:val="1"/>
      <w:numFmt w:val="bullet"/>
      <w:lvlText w:val="•"/>
      <w:lvlJc w:val="left"/>
      <w:pPr>
        <w:tabs>
          <w:tab w:val="num" w:pos="2880"/>
        </w:tabs>
        <w:ind w:left="2880" w:hanging="360"/>
      </w:pPr>
      <w:rPr>
        <w:rFonts w:ascii="Times New Roman" w:hAnsi="Times New Roman" w:hint="default"/>
      </w:rPr>
    </w:lvl>
    <w:lvl w:ilvl="4" w:tplc="172E9AB4" w:tentative="1">
      <w:start w:val="1"/>
      <w:numFmt w:val="bullet"/>
      <w:lvlText w:val="•"/>
      <w:lvlJc w:val="left"/>
      <w:pPr>
        <w:tabs>
          <w:tab w:val="num" w:pos="3600"/>
        </w:tabs>
        <w:ind w:left="3600" w:hanging="360"/>
      </w:pPr>
      <w:rPr>
        <w:rFonts w:ascii="Times New Roman" w:hAnsi="Times New Roman" w:hint="default"/>
      </w:rPr>
    </w:lvl>
    <w:lvl w:ilvl="5" w:tplc="70C6F618" w:tentative="1">
      <w:start w:val="1"/>
      <w:numFmt w:val="bullet"/>
      <w:lvlText w:val="•"/>
      <w:lvlJc w:val="left"/>
      <w:pPr>
        <w:tabs>
          <w:tab w:val="num" w:pos="4320"/>
        </w:tabs>
        <w:ind w:left="4320" w:hanging="360"/>
      </w:pPr>
      <w:rPr>
        <w:rFonts w:ascii="Times New Roman" w:hAnsi="Times New Roman" w:hint="default"/>
      </w:rPr>
    </w:lvl>
    <w:lvl w:ilvl="6" w:tplc="B01A7D96" w:tentative="1">
      <w:start w:val="1"/>
      <w:numFmt w:val="bullet"/>
      <w:lvlText w:val="•"/>
      <w:lvlJc w:val="left"/>
      <w:pPr>
        <w:tabs>
          <w:tab w:val="num" w:pos="5040"/>
        </w:tabs>
        <w:ind w:left="5040" w:hanging="360"/>
      </w:pPr>
      <w:rPr>
        <w:rFonts w:ascii="Times New Roman" w:hAnsi="Times New Roman" w:hint="default"/>
      </w:rPr>
    </w:lvl>
    <w:lvl w:ilvl="7" w:tplc="605C12B6" w:tentative="1">
      <w:start w:val="1"/>
      <w:numFmt w:val="bullet"/>
      <w:lvlText w:val="•"/>
      <w:lvlJc w:val="left"/>
      <w:pPr>
        <w:tabs>
          <w:tab w:val="num" w:pos="5760"/>
        </w:tabs>
        <w:ind w:left="5760" w:hanging="360"/>
      </w:pPr>
      <w:rPr>
        <w:rFonts w:ascii="Times New Roman" w:hAnsi="Times New Roman" w:hint="default"/>
      </w:rPr>
    </w:lvl>
    <w:lvl w:ilvl="8" w:tplc="548612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2F11F9"/>
    <w:multiLevelType w:val="hybridMultilevel"/>
    <w:tmpl w:val="48E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A"/>
    <w:rsid w:val="0001531C"/>
    <w:rsid w:val="00024D0D"/>
    <w:rsid w:val="00034DAD"/>
    <w:rsid w:val="00036FF0"/>
    <w:rsid w:val="000A00FD"/>
    <w:rsid w:val="000F0FC4"/>
    <w:rsid w:val="001122D6"/>
    <w:rsid w:val="00152E4C"/>
    <w:rsid w:val="0017163C"/>
    <w:rsid w:val="00171C88"/>
    <w:rsid w:val="00181D03"/>
    <w:rsid w:val="0018249D"/>
    <w:rsid w:val="00186AD3"/>
    <w:rsid w:val="00197385"/>
    <w:rsid w:val="001A6748"/>
    <w:rsid w:val="001B1F79"/>
    <w:rsid w:val="001F6D94"/>
    <w:rsid w:val="00253CC6"/>
    <w:rsid w:val="00260D6B"/>
    <w:rsid w:val="00261803"/>
    <w:rsid w:val="00265E8E"/>
    <w:rsid w:val="00276BB6"/>
    <w:rsid w:val="00297B4A"/>
    <w:rsid w:val="002E551E"/>
    <w:rsid w:val="0031033B"/>
    <w:rsid w:val="00326C5E"/>
    <w:rsid w:val="00375499"/>
    <w:rsid w:val="0038649C"/>
    <w:rsid w:val="003A4D01"/>
    <w:rsid w:val="003B079E"/>
    <w:rsid w:val="003B0D36"/>
    <w:rsid w:val="003E4192"/>
    <w:rsid w:val="003E7CCE"/>
    <w:rsid w:val="003F5FC7"/>
    <w:rsid w:val="004146F1"/>
    <w:rsid w:val="00415F7A"/>
    <w:rsid w:val="0044089F"/>
    <w:rsid w:val="0046490D"/>
    <w:rsid w:val="00486BA7"/>
    <w:rsid w:val="00496772"/>
    <w:rsid w:val="004E779A"/>
    <w:rsid w:val="00503557"/>
    <w:rsid w:val="00510105"/>
    <w:rsid w:val="005111B3"/>
    <w:rsid w:val="00554EE9"/>
    <w:rsid w:val="005633A6"/>
    <w:rsid w:val="005654D5"/>
    <w:rsid w:val="005703B6"/>
    <w:rsid w:val="00591394"/>
    <w:rsid w:val="005F7160"/>
    <w:rsid w:val="00616305"/>
    <w:rsid w:val="0063384C"/>
    <w:rsid w:val="006519AD"/>
    <w:rsid w:val="00657A08"/>
    <w:rsid w:val="00677A4C"/>
    <w:rsid w:val="00685D93"/>
    <w:rsid w:val="00693E49"/>
    <w:rsid w:val="006E7FE1"/>
    <w:rsid w:val="006F79E9"/>
    <w:rsid w:val="00740CE5"/>
    <w:rsid w:val="00743F27"/>
    <w:rsid w:val="00744799"/>
    <w:rsid w:val="00746C61"/>
    <w:rsid w:val="007734BB"/>
    <w:rsid w:val="007F1744"/>
    <w:rsid w:val="00804069"/>
    <w:rsid w:val="0083605E"/>
    <w:rsid w:val="00842F1A"/>
    <w:rsid w:val="00847069"/>
    <w:rsid w:val="00870031"/>
    <w:rsid w:val="008866B7"/>
    <w:rsid w:val="00897D81"/>
    <w:rsid w:val="008F4FEA"/>
    <w:rsid w:val="0092107D"/>
    <w:rsid w:val="00927060"/>
    <w:rsid w:val="00971B99"/>
    <w:rsid w:val="00975468"/>
    <w:rsid w:val="00984C03"/>
    <w:rsid w:val="009D0374"/>
    <w:rsid w:val="009D0DFE"/>
    <w:rsid w:val="009E76D0"/>
    <w:rsid w:val="00A32EBC"/>
    <w:rsid w:val="00A41980"/>
    <w:rsid w:val="00AA5238"/>
    <w:rsid w:val="00AD543D"/>
    <w:rsid w:val="00AE0AB4"/>
    <w:rsid w:val="00AE1687"/>
    <w:rsid w:val="00B03E5B"/>
    <w:rsid w:val="00B10AAE"/>
    <w:rsid w:val="00B34931"/>
    <w:rsid w:val="00B50652"/>
    <w:rsid w:val="00B65C3C"/>
    <w:rsid w:val="00B74688"/>
    <w:rsid w:val="00B90D6E"/>
    <w:rsid w:val="00B95AE9"/>
    <w:rsid w:val="00BB45D1"/>
    <w:rsid w:val="00BD636F"/>
    <w:rsid w:val="00C70938"/>
    <w:rsid w:val="00C80488"/>
    <w:rsid w:val="00C8380C"/>
    <w:rsid w:val="00C850FC"/>
    <w:rsid w:val="00C85648"/>
    <w:rsid w:val="00CA76B4"/>
    <w:rsid w:val="00CD3C57"/>
    <w:rsid w:val="00D05BDA"/>
    <w:rsid w:val="00D24F70"/>
    <w:rsid w:val="00D43986"/>
    <w:rsid w:val="00D71CF3"/>
    <w:rsid w:val="00D85622"/>
    <w:rsid w:val="00D91E7E"/>
    <w:rsid w:val="00DB1462"/>
    <w:rsid w:val="00DC49D1"/>
    <w:rsid w:val="00DD315E"/>
    <w:rsid w:val="00E03F96"/>
    <w:rsid w:val="00E14ADD"/>
    <w:rsid w:val="00E531CF"/>
    <w:rsid w:val="00E7126D"/>
    <w:rsid w:val="00EE7F7A"/>
    <w:rsid w:val="00F12205"/>
    <w:rsid w:val="00F45FED"/>
    <w:rsid w:val="00F511F1"/>
    <w:rsid w:val="00F9165C"/>
    <w:rsid w:val="00FB03B1"/>
    <w:rsid w:val="00FC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154">
      <w:bodyDiv w:val="1"/>
      <w:marLeft w:val="0"/>
      <w:marRight w:val="0"/>
      <w:marTop w:val="0"/>
      <w:marBottom w:val="0"/>
      <w:divBdr>
        <w:top w:val="none" w:sz="0" w:space="0" w:color="auto"/>
        <w:left w:val="none" w:sz="0" w:space="0" w:color="auto"/>
        <w:bottom w:val="none" w:sz="0" w:space="0" w:color="auto"/>
        <w:right w:val="none" w:sz="0" w:space="0" w:color="auto"/>
      </w:divBdr>
    </w:div>
    <w:div w:id="1292053290">
      <w:bodyDiv w:val="1"/>
      <w:marLeft w:val="0"/>
      <w:marRight w:val="0"/>
      <w:marTop w:val="0"/>
      <w:marBottom w:val="0"/>
      <w:divBdr>
        <w:top w:val="none" w:sz="0" w:space="0" w:color="auto"/>
        <w:left w:val="none" w:sz="0" w:space="0" w:color="auto"/>
        <w:bottom w:val="none" w:sz="0" w:space="0" w:color="auto"/>
        <w:right w:val="none" w:sz="0" w:space="0" w:color="auto"/>
      </w:divBdr>
      <w:divsChild>
        <w:div w:id="1698967601">
          <w:marLeft w:val="0"/>
          <w:marRight w:val="0"/>
          <w:marTop w:val="0"/>
          <w:marBottom w:val="0"/>
          <w:divBdr>
            <w:top w:val="none" w:sz="0" w:space="0" w:color="auto"/>
            <w:left w:val="none" w:sz="0" w:space="0" w:color="auto"/>
            <w:bottom w:val="none" w:sz="0" w:space="0" w:color="auto"/>
            <w:right w:val="none" w:sz="0" w:space="0" w:color="auto"/>
          </w:divBdr>
        </w:div>
      </w:divsChild>
    </w:div>
    <w:div w:id="1295982297">
      <w:bodyDiv w:val="1"/>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892813110">
              <w:marLeft w:val="0"/>
              <w:marRight w:val="0"/>
              <w:marTop w:val="0"/>
              <w:marBottom w:val="0"/>
              <w:divBdr>
                <w:top w:val="none" w:sz="0" w:space="0" w:color="auto"/>
                <w:left w:val="none" w:sz="0" w:space="0" w:color="auto"/>
                <w:bottom w:val="none" w:sz="0" w:space="0" w:color="auto"/>
                <w:right w:val="none" w:sz="0" w:space="0" w:color="auto"/>
              </w:divBdr>
              <w:divsChild>
                <w:div w:id="130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tc.irs.gov/Other-Refundable-Credits/main" TargetMode="External"/><Relationship Id="rId13" Type="http://schemas.openxmlformats.org/officeDocument/2006/relationships/hyperlink" Target="https://www.irs.gov/businesses/small-businesses-self-employed/stakeholder-liaison-local-contacts-1?_ga=1.199113897.781240715.14647268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https://www.irsvideos.gov/Notjustcollegecredi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s.gov/pub/irs-pdf/f13285a.pdf?_ga=1.84998297.107722853.143631221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itc.irs.gov/EITC-Central/childbenefit" TargetMode="External"/><Relationship Id="rId5" Type="http://schemas.openxmlformats.org/officeDocument/2006/relationships/webSettings" Target="webSettings.xml"/><Relationship Id="rId15" Type="http://schemas.openxmlformats.org/officeDocument/2006/relationships/hyperlink" Target="https://www.irs.gov/Businesses/Small-Businesses-&amp;-Self-Employed/Stakeholder-Liaison-Local-Contacts-1" TargetMode="External"/><Relationship Id="rId10" Type="http://schemas.openxmlformats.org/officeDocument/2006/relationships/hyperlink" Target="https://www.eitc.irs.gov/Other-Refundable-Credits/ctcactc" TargetMode="External"/><Relationship Id="rId4" Type="http://schemas.openxmlformats.org/officeDocument/2006/relationships/settings" Target="settings.xml"/><Relationship Id="rId9" Type="http://schemas.openxmlformats.org/officeDocument/2006/relationships/hyperlink" Target="https://www.eitc.irs.gov/Other-Refundable-Credits/qc" TargetMode="External"/><Relationship Id="rId14" Type="http://schemas.openxmlformats.org/officeDocument/2006/relationships/hyperlink" Target="https://www.irs.gov/Businesses/Small-Businesses-&amp;-Self-Employed/Issue-Management-Resolution-System-I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EITC DUE DILIGENCE</vt:lpstr>
    </vt:vector>
  </TitlesOfParts>
  <Company>Department of the Treasury</Company>
  <LinksUpToDate>false</LinksUpToDate>
  <CharactersWithSpaces>2707</CharactersWithSpaces>
  <SharedDoc>false</SharedDoc>
  <HLinks>
    <vt:vector size="84" baseType="variant">
      <vt:variant>
        <vt:i4>539164752</vt:i4>
      </vt:variant>
      <vt:variant>
        <vt:i4>39</vt:i4>
      </vt:variant>
      <vt:variant>
        <vt:i4>0</vt:i4>
      </vt:variant>
      <vt:variant>
        <vt:i4>5</vt:i4>
      </vt:variant>
      <vt:variant>
        <vt:lpwstr>http://www.irs.gov/Individuals/Earned-Income-Tax-Credit-(EITC)-–--Use-the-EITC-Assistant-to-Find-Out-if-You-Should-Claim-it.</vt:lpwstr>
      </vt:variant>
      <vt:variant>
        <vt:lpwstr/>
      </vt:variant>
      <vt:variant>
        <vt:i4>2490404</vt:i4>
      </vt:variant>
      <vt:variant>
        <vt:i4>36</vt:i4>
      </vt:variant>
      <vt:variant>
        <vt:i4>0</vt:i4>
      </vt:variant>
      <vt:variant>
        <vt:i4>5</vt:i4>
      </vt:variant>
      <vt:variant>
        <vt:lpwstr>http://www.eitc.irs.gov/Tax-Preparer-Toolkit/dd</vt:lpwstr>
      </vt:variant>
      <vt:variant>
        <vt:lpwstr/>
      </vt:variant>
      <vt:variant>
        <vt:i4>5767245</vt:i4>
      </vt:variant>
      <vt:variant>
        <vt:i4>33</vt:i4>
      </vt:variant>
      <vt:variant>
        <vt:i4>0</vt:i4>
      </vt:variant>
      <vt:variant>
        <vt:i4>5</vt:i4>
      </vt:variant>
      <vt:variant>
        <vt:lpwstr>http://www.irs.gov/pub/irs-pdf/p4717.pdf</vt:lpwstr>
      </vt:variant>
      <vt:variant>
        <vt:lpwstr/>
      </vt:variant>
      <vt:variant>
        <vt:i4>720963</vt:i4>
      </vt:variant>
      <vt:variant>
        <vt:i4>30</vt:i4>
      </vt:variant>
      <vt:variant>
        <vt:i4>0</vt:i4>
      </vt:variant>
      <vt:variant>
        <vt:i4>5</vt:i4>
      </vt:variant>
      <vt:variant>
        <vt:lpwstr>https://www.irs.gov/Credits-&amp;-Deductions/Individuals/Earned-Income-Tax-Credit/EITC-Publications,-Forms,-Brochures-and-Other-Resources</vt:lpwstr>
      </vt:variant>
      <vt:variant>
        <vt:lpwstr/>
      </vt:variant>
      <vt:variant>
        <vt:i4>5832772</vt:i4>
      </vt:variant>
      <vt:variant>
        <vt:i4>27</vt:i4>
      </vt:variant>
      <vt:variant>
        <vt:i4>0</vt:i4>
      </vt:variant>
      <vt:variant>
        <vt:i4>5</vt:i4>
      </vt:variant>
      <vt:variant>
        <vt:lpwstr>http://www.irs.gov/pub/irs-pdf/p4687.pdf</vt:lpwstr>
      </vt:variant>
      <vt:variant>
        <vt:lpwstr/>
      </vt:variant>
      <vt:variant>
        <vt:i4>4259910</vt:i4>
      </vt:variant>
      <vt:variant>
        <vt:i4>24</vt:i4>
      </vt:variant>
      <vt:variant>
        <vt:i4>0</vt:i4>
      </vt:variant>
      <vt:variant>
        <vt:i4>5</vt:i4>
      </vt:variant>
      <vt:variant>
        <vt:lpwstr>http://www.irs.gov/pub/irs-pdf/f8867.pdf</vt:lpwstr>
      </vt:variant>
      <vt:variant>
        <vt:lpwstr/>
      </vt:variant>
      <vt:variant>
        <vt:i4>1966160</vt:i4>
      </vt:variant>
      <vt:variant>
        <vt:i4>21</vt:i4>
      </vt:variant>
      <vt:variant>
        <vt:i4>0</vt:i4>
      </vt:variant>
      <vt:variant>
        <vt:i4>5</vt:i4>
      </vt:variant>
      <vt:variant>
        <vt:lpwstr>http://www.irs.gov/Tax-Professionals/IRS-Letters-and-Visits-to-Return-Preparers-FAQs</vt:lpwstr>
      </vt:variant>
      <vt:variant>
        <vt:lpwstr/>
      </vt:variant>
      <vt:variant>
        <vt:i4>2162740</vt:i4>
      </vt:variant>
      <vt:variant>
        <vt:i4>18</vt:i4>
      </vt:variant>
      <vt:variant>
        <vt:i4>0</vt:i4>
      </vt:variant>
      <vt:variant>
        <vt:i4>5</vt:i4>
      </vt:variant>
      <vt:variant>
        <vt:lpwstr>http://www.irs.gov/Tax-Professionals/IRS-Letters-and-Visits-to-Return-Preparers</vt:lpwstr>
      </vt:variant>
      <vt:variant>
        <vt:lpwstr/>
      </vt:variant>
      <vt:variant>
        <vt:i4>4391002</vt:i4>
      </vt:variant>
      <vt:variant>
        <vt:i4>15</vt:i4>
      </vt:variant>
      <vt:variant>
        <vt:i4>0</vt:i4>
      </vt:variant>
      <vt:variant>
        <vt:i4>5</vt:i4>
      </vt:variant>
      <vt:variant>
        <vt:lpwstr>http://www.eitc.irs.gov/Tax-Preparer-Toolkit/ddmodule</vt:lpwstr>
      </vt:variant>
      <vt:variant>
        <vt:lpwstr/>
      </vt:variant>
      <vt:variant>
        <vt:i4>5570629</vt:i4>
      </vt:variant>
      <vt:variant>
        <vt:i4>12</vt:i4>
      </vt:variant>
      <vt:variant>
        <vt:i4>0</vt:i4>
      </vt:variant>
      <vt:variant>
        <vt:i4>5</vt:i4>
      </vt:variant>
      <vt:variant>
        <vt:lpwstr>http://www.eitc.irs.gov/Tax-Preparer-Toolkit/faqs</vt:lpwstr>
      </vt:variant>
      <vt:variant>
        <vt:lpwstr/>
      </vt:variant>
      <vt:variant>
        <vt:i4>2228284</vt:i4>
      </vt:variant>
      <vt:variant>
        <vt:i4>9</vt:i4>
      </vt:variant>
      <vt:variant>
        <vt:i4>0</vt:i4>
      </vt:variant>
      <vt:variant>
        <vt:i4>5</vt:i4>
      </vt:variant>
      <vt:variant>
        <vt:lpwstr>http://www.eitc.irs.gov/Tax-Preparer-Toolkit/compliance</vt:lpwstr>
      </vt:variant>
      <vt:variant>
        <vt:lpwstr/>
      </vt:variant>
      <vt:variant>
        <vt:i4>4587589</vt:i4>
      </vt:variant>
      <vt:variant>
        <vt:i4>6</vt:i4>
      </vt:variant>
      <vt:variant>
        <vt:i4>0</vt:i4>
      </vt:variant>
      <vt:variant>
        <vt:i4>5</vt:i4>
      </vt:variant>
      <vt:variant>
        <vt:lpwstr>http://www.eitc.irs.gov/Tax-Preparer-Toolkit/main</vt:lpwstr>
      </vt:variant>
      <vt:variant>
        <vt:lpwstr/>
      </vt:variant>
      <vt:variant>
        <vt:i4>524369</vt:i4>
      </vt:variant>
      <vt:variant>
        <vt:i4>3</vt:i4>
      </vt:variant>
      <vt:variant>
        <vt:i4>0</vt:i4>
      </vt:variant>
      <vt:variant>
        <vt:i4>5</vt:i4>
      </vt:variant>
      <vt:variant>
        <vt:lpwstr>http://www.eitc.irs.gov/</vt:lpwstr>
      </vt:variant>
      <vt:variant>
        <vt:lpwstr/>
      </vt:variant>
      <vt:variant>
        <vt:i4>4587589</vt:i4>
      </vt:variant>
      <vt:variant>
        <vt:i4>0</vt:i4>
      </vt:variant>
      <vt:variant>
        <vt:i4>0</vt:i4>
      </vt:variant>
      <vt:variant>
        <vt:i4>5</vt:i4>
      </vt:variant>
      <vt:variant>
        <vt:lpwstr>http://www.eitc.irs.gov/Tax-Preparer-Toolkit/main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DUE DILIGENCE</dc:title>
  <dc:creator>QDMFB</dc:creator>
  <cp:lastModifiedBy>Department of Treasury</cp:lastModifiedBy>
  <cp:revision>2</cp:revision>
  <dcterms:created xsi:type="dcterms:W3CDTF">2017-02-28T18:15:00Z</dcterms:created>
  <dcterms:modified xsi:type="dcterms:W3CDTF">2017-02-28T18:15:00Z</dcterms:modified>
</cp:coreProperties>
</file>